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F4" w:rsidRPr="00593EB0" w:rsidRDefault="00C537F4" w:rsidP="00E4260C">
      <w:pPr>
        <w:jc w:val="center"/>
        <w:rPr>
          <w:rFonts w:ascii="Calibri" w:hAnsi="Calibri" w:cs="Calibri"/>
          <w:b/>
          <w:sz w:val="32"/>
          <w:szCs w:val="36"/>
        </w:rPr>
      </w:pPr>
      <w:r w:rsidRPr="00593EB0">
        <w:rPr>
          <w:rFonts w:ascii="Calibri" w:hAnsi="Calibri" w:cs="Calibri"/>
          <w:b/>
          <w:sz w:val="32"/>
          <w:szCs w:val="36"/>
        </w:rPr>
        <w:t xml:space="preserve">Statement on charging for packaging, </w:t>
      </w:r>
      <w:r w:rsidR="005113D0" w:rsidRPr="00593EB0">
        <w:rPr>
          <w:rFonts w:ascii="Calibri" w:hAnsi="Calibri" w:cs="Calibri"/>
          <w:b/>
          <w:sz w:val="32"/>
          <w:szCs w:val="36"/>
        </w:rPr>
        <w:br/>
      </w:r>
      <w:r w:rsidR="009E479E" w:rsidRPr="00593EB0">
        <w:rPr>
          <w:rFonts w:ascii="Calibri" w:hAnsi="Calibri" w:cs="Calibri"/>
          <w:b/>
          <w:sz w:val="32"/>
          <w:szCs w:val="36"/>
        </w:rPr>
        <w:t xml:space="preserve">disposable plastic packaging and packaging </w:t>
      </w:r>
      <w:r w:rsidR="0072178F">
        <w:rPr>
          <w:rFonts w:ascii="Calibri" w:hAnsi="Calibri" w:cs="Calibri"/>
          <w:b/>
          <w:sz w:val="32"/>
          <w:szCs w:val="36"/>
        </w:rPr>
        <w:t>means</w:t>
      </w:r>
      <w:r w:rsidR="009E479E" w:rsidRPr="00593EB0">
        <w:rPr>
          <w:rFonts w:ascii="Calibri" w:hAnsi="Calibri" w:cs="Calibri"/>
          <w:b/>
          <w:sz w:val="32"/>
          <w:szCs w:val="36"/>
        </w:rPr>
        <w:t xml:space="preserve"> </w:t>
      </w:r>
      <w:r w:rsidR="00DE5756">
        <w:rPr>
          <w:rFonts w:ascii="Calibri" w:hAnsi="Calibri" w:cs="Calibri"/>
          <w:b/>
          <w:sz w:val="32"/>
          <w:szCs w:val="36"/>
        </w:rPr>
        <w:br/>
      </w:r>
      <w:r w:rsidRPr="00593EB0">
        <w:rPr>
          <w:rFonts w:ascii="Calibri" w:hAnsi="Calibri" w:cs="Calibri"/>
          <w:b/>
          <w:sz w:val="32"/>
          <w:szCs w:val="36"/>
        </w:rPr>
        <w:t xml:space="preserve">in the EKO-KOM </w:t>
      </w:r>
      <w:r w:rsidR="00051078">
        <w:rPr>
          <w:rFonts w:ascii="Calibri" w:hAnsi="Calibri" w:cs="Calibri"/>
          <w:b/>
          <w:sz w:val="32"/>
          <w:szCs w:val="36"/>
        </w:rPr>
        <w:t>S</w:t>
      </w:r>
      <w:r w:rsidRPr="00593EB0">
        <w:rPr>
          <w:rFonts w:ascii="Calibri" w:hAnsi="Calibri" w:cs="Calibri"/>
          <w:b/>
          <w:sz w:val="32"/>
          <w:szCs w:val="36"/>
        </w:rPr>
        <w:t>ystem</w:t>
      </w:r>
    </w:p>
    <w:p w:rsidR="00177646" w:rsidRPr="00593EB0" w:rsidRDefault="00177646" w:rsidP="007F5AC0">
      <w:pPr>
        <w:jc w:val="both"/>
        <w:rPr>
          <w:rFonts w:ascii="Calibri" w:hAnsi="Calibri" w:cs="Calibri"/>
          <w:sz w:val="22"/>
          <w:szCs w:val="22"/>
        </w:rPr>
      </w:pPr>
    </w:p>
    <w:p w:rsidR="00C537F4" w:rsidRPr="00593EB0" w:rsidRDefault="00C537F4" w:rsidP="007F5AC0">
      <w:pPr>
        <w:jc w:val="both"/>
        <w:rPr>
          <w:rFonts w:ascii="Calibri" w:hAnsi="Calibri" w:cs="Calibri"/>
          <w:sz w:val="22"/>
          <w:szCs w:val="22"/>
        </w:rPr>
      </w:pPr>
    </w:p>
    <w:p w:rsidR="00C537F4" w:rsidRDefault="00C537F4" w:rsidP="007F5AC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560"/>
        <w:gridCol w:w="4365"/>
      </w:tblGrid>
      <w:tr w:rsidR="00D22D7E" w:rsidRPr="0060134F" w:rsidTr="0072178F">
        <w:tc>
          <w:tcPr>
            <w:tcW w:w="3397" w:type="dxa"/>
            <w:gridSpan w:val="2"/>
            <w:shd w:val="clear" w:color="auto" w:fill="auto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134F">
              <w:rPr>
                <w:rFonts w:ascii="Calibri" w:hAnsi="Calibri" w:cs="Calibri"/>
                <w:sz w:val="22"/>
                <w:szCs w:val="22"/>
              </w:rPr>
              <w:t xml:space="preserve">Company / </w:t>
            </w:r>
            <w:r w:rsidR="0072178F">
              <w:rPr>
                <w:rFonts w:ascii="Calibri" w:hAnsi="Calibri" w:cs="Calibri"/>
                <w:sz w:val="22"/>
                <w:szCs w:val="22"/>
              </w:rPr>
              <w:t>entrepreneur</w:t>
            </w:r>
          </w:p>
        </w:tc>
        <w:tc>
          <w:tcPr>
            <w:tcW w:w="5925" w:type="dxa"/>
            <w:gridSpan w:val="2"/>
            <w:shd w:val="clear" w:color="auto" w:fill="FFFF00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2D7E" w:rsidRPr="0060134F" w:rsidTr="0072178F">
        <w:tc>
          <w:tcPr>
            <w:tcW w:w="1271" w:type="dxa"/>
            <w:shd w:val="clear" w:color="auto" w:fill="auto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134F">
              <w:rPr>
                <w:rFonts w:ascii="Calibri" w:hAnsi="Calibri" w:cs="Calibri"/>
                <w:sz w:val="22"/>
                <w:szCs w:val="22"/>
              </w:rPr>
              <w:t>ID number:</w:t>
            </w:r>
          </w:p>
        </w:tc>
        <w:tc>
          <w:tcPr>
            <w:tcW w:w="2126" w:type="dxa"/>
            <w:shd w:val="clear" w:color="auto" w:fill="FFFF00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134F">
              <w:rPr>
                <w:rFonts w:ascii="Calibri" w:hAnsi="Calibri" w:cs="Calibri"/>
                <w:sz w:val="22"/>
                <w:szCs w:val="22"/>
              </w:rPr>
              <w:t>VAT number:</w:t>
            </w:r>
          </w:p>
        </w:tc>
        <w:tc>
          <w:tcPr>
            <w:tcW w:w="4365" w:type="dxa"/>
            <w:shd w:val="clear" w:color="auto" w:fill="FFFF00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2D7E" w:rsidRPr="0060134F" w:rsidTr="0072178F">
        <w:tc>
          <w:tcPr>
            <w:tcW w:w="3397" w:type="dxa"/>
            <w:gridSpan w:val="2"/>
            <w:shd w:val="clear" w:color="auto" w:fill="auto"/>
          </w:tcPr>
          <w:p w:rsidR="00D22D7E" w:rsidRPr="0060134F" w:rsidRDefault="00224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3E21">
              <w:rPr>
                <w:rFonts w:ascii="Calibri" w:hAnsi="Calibri" w:cs="Calibri"/>
                <w:sz w:val="22"/>
                <w:szCs w:val="22"/>
              </w:rPr>
              <w:t>headquarters</w:t>
            </w:r>
            <w:r w:rsidR="00D22D7E" w:rsidRPr="00B13E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2D7E" w:rsidRPr="0060134F">
              <w:rPr>
                <w:rFonts w:ascii="Calibri" w:hAnsi="Calibri" w:cs="Calibri"/>
                <w:sz w:val="22"/>
                <w:szCs w:val="22"/>
              </w:rPr>
              <w:t>(place of business)</w:t>
            </w:r>
          </w:p>
        </w:tc>
        <w:tc>
          <w:tcPr>
            <w:tcW w:w="5925" w:type="dxa"/>
            <w:gridSpan w:val="2"/>
            <w:shd w:val="clear" w:color="auto" w:fill="FFFF00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22D7E" w:rsidRDefault="00D22D7E" w:rsidP="007F5AC0">
      <w:pPr>
        <w:jc w:val="both"/>
        <w:rPr>
          <w:rFonts w:ascii="Calibri" w:hAnsi="Calibri" w:cs="Calibri"/>
          <w:sz w:val="22"/>
          <w:szCs w:val="22"/>
        </w:rPr>
      </w:pPr>
    </w:p>
    <w:p w:rsidR="00637D42" w:rsidRPr="00593EB0" w:rsidRDefault="00637D42" w:rsidP="007F5AC0">
      <w:pPr>
        <w:jc w:val="both"/>
        <w:rPr>
          <w:rFonts w:ascii="Calibri" w:hAnsi="Calibri" w:cs="Calibri"/>
          <w:sz w:val="22"/>
          <w:szCs w:val="22"/>
        </w:rPr>
      </w:pPr>
    </w:p>
    <w:p w:rsidR="00C537F4" w:rsidRPr="00593EB0" w:rsidRDefault="00832279" w:rsidP="00E4260C">
      <w:pPr>
        <w:ind w:hanging="284"/>
        <w:jc w:val="both"/>
        <w:rPr>
          <w:rFonts w:ascii="Calibri" w:hAnsi="Calibri" w:cs="Calibri"/>
          <w:sz w:val="22"/>
          <w:szCs w:val="22"/>
        </w:rPr>
      </w:pPr>
      <w:r w:rsidRPr="00593EB0">
        <w:rPr>
          <w:rFonts w:ascii="Calibri" w:hAnsi="Calibri" w:cs="Calibri"/>
          <w:sz w:val="22"/>
          <w:szCs w:val="22"/>
        </w:rPr>
        <w:t>hereby declares,</w:t>
      </w:r>
    </w:p>
    <w:p w:rsidR="00C537F4" w:rsidRPr="00593EB0" w:rsidRDefault="00C537F4" w:rsidP="00E4260C">
      <w:pPr>
        <w:ind w:hanging="284"/>
        <w:jc w:val="both"/>
        <w:rPr>
          <w:rFonts w:ascii="Calibri" w:hAnsi="Calibri" w:cs="Calibri"/>
          <w:sz w:val="22"/>
          <w:szCs w:val="22"/>
        </w:rPr>
      </w:pPr>
    </w:p>
    <w:p w:rsidR="00C537F4" w:rsidRPr="00593EB0" w:rsidRDefault="00C537F4" w:rsidP="005113D0">
      <w:pPr>
        <w:rPr>
          <w:rFonts w:ascii="Calibri" w:hAnsi="Calibri" w:cs="Calibri"/>
          <w:sz w:val="22"/>
          <w:szCs w:val="22"/>
        </w:rPr>
      </w:pPr>
    </w:p>
    <w:p w:rsidR="007F5AC0" w:rsidRDefault="00C537F4" w:rsidP="00E4260C">
      <w:pPr>
        <w:pStyle w:val="work1"/>
        <w:spacing w:line="240" w:lineRule="auto"/>
        <w:ind w:left="-284" w:right="-426"/>
        <w:rPr>
          <w:rFonts w:ascii="Calibri" w:hAnsi="Calibri" w:cs="Calibri"/>
          <w:sz w:val="22"/>
          <w:szCs w:val="22"/>
        </w:rPr>
      </w:pPr>
      <w:r w:rsidRPr="00593EB0">
        <w:rPr>
          <w:rFonts w:ascii="Calibri" w:hAnsi="Calibri" w:cs="Calibri"/>
          <w:sz w:val="22"/>
          <w:szCs w:val="22"/>
        </w:rPr>
        <w:t xml:space="preserve">that for all packaging and single-use plastic packaging and packaging </w:t>
      </w:r>
      <w:r w:rsidR="0072178F">
        <w:rPr>
          <w:rFonts w:ascii="Calibri" w:hAnsi="Calibri" w:cs="Calibri"/>
          <w:sz w:val="22"/>
          <w:szCs w:val="22"/>
        </w:rPr>
        <w:t>means</w:t>
      </w:r>
      <w:r w:rsidR="00051078">
        <w:rPr>
          <w:rFonts w:ascii="Calibri" w:hAnsi="Calibri" w:cs="Calibri"/>
          <w:sz w:val="22"/>
          <w:szCs w:val="22"/>
        </w:rPr>
        <w:t xml:space="preserve"> (§ 15b)</w:t>
      </w:r>
      <w:r w:rsidRPr="00593EB0">
        <w:rPr>
          <w:rFonts w:ascii="Calibri" w:hAnsi="Calibri" w:cs="Calibri"/>
          <w:sz w:val="22"/>
          <w:szCs w:val="22"/>
        </w:rPr>
        <w:t>, in relation to which according to the Packaging Act, the rights and obligations of the person placing the packaging on the market or in</w:t>
      </w:r>
      <w:r w:rsidR="0072178F">
        <w:rPr>
          <w:rFonts w:ascii="Calibri" w:hAnsi="Calibri" w:cs="Calibri"/>
          <w:sz w:val="22"/>
          <w:szCs w:val="22"/>
        </w:rPr>
        <w:t>to</w:t>
      </w:r>
      <w:r w:rsidRPr="00593EB0">
        <w:rPr>
          <w:rFonts w:ascii="Calibri" w:hAnsi="Calibri" w:cs="Calibri"/>
          <w:sz w:val="22"/>
          <w:szCs w:val="22"/>
        </w:rPr>
        <w:t xml:space="preserve"> circulation as set out in Sections 10 to 13 of the P</w:t>
      </w:r>
      <w:bookmarkStart w:id="0" w:name="_GoBack"/>
      <w:bookmarkEnd w:id="0"/>
      <w:r w:rsidRPr="00593EB0">
        <w:rPr>
          <w:rFonts w:ascii="Calibri" w:hAnsi="Calibri" w:cs="Calibri"/>
          <w:sz w:val="22"/>
          <w:szCs w:val="22"/>
        </w:rPr>
        <w:t>ackaging Act that he puts on the market or in</w:t>
      </w:r>
      <w:r w:rsidR="0072178F">
        <w:rPr>
          <w:rFonts w:ascii="Calibri" w:hAnsi="Calibri" w:cs="Calibri"/>
          <w:sz w:val="22"/>
          <w:szCs w:val="22"/>
        </w:rPr>
        <w:t>to</w:t>
      </w:r>
      <w:r w:rsidRPr="00593EB0">
        <w:rPr>
          <w:rFonts w:ascii="Calibri" w:hAnsi="Calibri" w:cs="Calibri"/>
          <w:sz w:val="22"/>
          <w:szCs w:val="22"/>
        </w:rPr>
        <w:t xml:space="preserve"> circulation apply in the Czech Republic, a fee (remuneration) was paid for the </w:t>
      </w:r>
      <w:r w:rsidR="00263E96">
        <w:rPr>
          <w:rFonts w:ascii="Calibri" w:hAnsi="Calibri" w:cs="Calibri"/>
          <w:sz w:val="22"/>
          <w:szCs w:val="22"/>
        </w:rPr>
        <w:t>take-back</w:t>
      </w:r>
      <w:r w:rsidRPr="00593EB0">
        <w:rPr>
          <w:rFonts w:ascii="Calibri" w:hAnsi="Calibri" w:cs="Calibri"/>
          <w:sz w:val="22"/>
          <w:szCs w:val="22"/>
        </w:rPr>
        <w:t xml:space="preserve"> and </w:t>
      </w:r>
      <w:r w:rsidR="00263E96">
        <w:rPr>
          <w:rFonts w:ascii="Calibri" w:hAnsi="Calibri" w:cs="Calibri"/>
          <w:sz w:val="22"/>
          <w:szCs w:val="22"/>
        </w:rPr>
        <w:t xml:space="preserve">recovery </w:t>
      </w:r>
      <w:r w:rsidRPr="00593EB0">
        <w:rPr>
          <w:rFonts w:ascii="Calibri" w:hAnsi="Calibri" w:cs="Calibri"/>
          <w:sz w:val="22"/>
          <w:szCs w:val="22"/>
        </w:rPr>
        <w:t>of packaging waste and so-called littering (costs for cleaning</w:t>
      </w:r>
      <w:r w:rsidR="00F94A9B">
        <w:rPr>
          <w:rFonts w:ascii="Calibri" w:hAnsi="Calibri" w:cs="Calibri"/>
          <w:sz w:val="22"/>
          <w:szCs w:val="22"/>
        </w:rPr>
        <w:t xml:space="preserve"> </w:t>
      </w:r>
      <w:r w:rsidR="00F94A9B" w:rsidRPr="00B13E21">
        <w:rPr>
          <w:rFonts w:ascii="Calibri" w:hAnsi="Calibri" w:cs="Calibri"/>
          <w:sz w:val="22"/>
          <w:szCs w:val="22"/>
        </w:rPr>
        <w:t xml:space="preserve">up </w:t>
      </w:r>
      <w:r w:rsidRPr="00593EB0">
        <w:rPr>
          <w:rFonts w:ascii="Calibri" w:hAnsi="Calibri" w:cs="Calibri"/>
          <w:sz w:val="22"/>
          <w:szCs w:val="22"/>
        </w:rPr>
        <w:t xml:space="preserve">packaging waste) to the company EKO-KOM, as, under the identification </w:t>
      </w:r>
      <w:r w:rsidR="007F5AC0" w:rsidRPr="00593EB0">
        <w:rPr>
          <w:rFonts w:ascii="Calibri" w:hAnsi="Calibri" w:cs="Calibri"/>
          <w:sz w:val="22"/>
          <w:szCs w:val="22"/>
        </w:rPr>
        <w:t>number</w:t>
      </w:r>
    </w:p>
    <w:p w:rsidR="00D22D7E" w:rsidRDefault="00D22D7E" w:rsidP="007602BB">
      <w:pPr>
        <w:pStyle w:val="work1"/>
        <w:spacing w:line="24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D22D7E" w:rsidRPr="0060134F" w:rsidTr="008C754F">
        <w:tc>
          <w:tcPr>
            <w:tcW w:w="3402" w:type="dxa"/>
            <w:shd w:val="clear" w:color="auto" w:fill="FFFF00"/>
          </w:tcPr>
          <w:p w:rsidR="00D22D7E" w:rsidRPr="0060134F" w:rsidRDefault="00D22D7E" w:rsidP="00B97DAA">
            <w:pPr>
              <w:pStyle w:val="work1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34F">
              <w:rPr>
                <w:rFonts w:ascii="Calibri" w:hAnsi="Calibri" w:cs="Calibri"/>
                <w:sz w:val="22"/>
                <w:szCs w:val="22"/>
              </w:rPr>
              <w:t>EK-</w:t>
            </w:r>
          </w:p>
        </w:tc>
      </w:tr>
    </w:tbl>
    <w:p w:rsidR="00D22D7E" w:rsidRPr="00593EB0" w:rsidRDefault="00D22D7E" w:rsidP="007602BB">
      <w:pPr>
        <w:pStyle w:val="work1"/>
        <w:spacing w:line="240" w:lineRule="auto"/>
        <w:rPr>
          <w:rFonts w:ascii="Calibri" w:hAnsi="Calibri" w:cs="Calibri"/>
          <w:sz w:val="22"/>
          <w:szCs w:val="22"/>
        </w:rPr>
      </w:pPr>
    </w:p>
    <w:p w:rsidR="00177646" w:rsidRPr="00B13E21" w:rsidRDefault="00882087" w:rsidP="00E4260C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 w:rsidRPr="00593EB0">
        <w:rPr>
          <w:rFonts w:ascii="Calibri" w:hAnsi="Calibri" w:cs="Calibri"/>
          <w:sz w:val="22"/>
          <w:szCs w:val="22"/>
        </w:rPr>
        <w:t xml:space="preserve">For all packaging and disposable plastic packaging and packaging </w:t>
      </w:r>
      <w:r w:rsidR="0072178F">
        <w:rPr>
          <w:rFonts w:ascii="Calibri" w:hAnsi="Calibri" w:cs="Calibri"/>
          <w:sz w:val="22"/>
          <w:szCs w:val="22"/>
        </w:rPr>
        <w:t>means</w:t>
      </w:r>
      <w:r w:rsidRPr="00593EB0">
        <w:rPr>
          <w:rFonts w:ascii="Calibri" w:hAnsi="Calibri" w:cs="Calibri"/>
          <w:sz w:val="22"/>
          <w:szCs w:val="22"/>
        </w:rPr>
        <w:t xml:space="preserve">, in </w:t>
      </w:r>
      <w:r w:rsidR="00E9136A" w:rsidRPr="00593EB0">
        <w:rPr>
          <w:rFonts w:ascii="Calibri" w:hAnsi="Calibri" w:cs="Calibri"/>
          <w:sz w:val="22"/>
          <w:szCs w:val="22"/>
        </w:rPr>
        <w:t>relation to which, according to the Packaging Act, the rights and obligations of the person placing on the market or putting into circulation the packaging</w:t>
      </w:r>
      <w:r w:rsidR="00E4260C">
        <w:rPr>
          <w:rFonts w:ascii="Calibri" w:hAnsi="Calibri" w:cs="Calibri"/>
          <w:sz w:val="22"/>
          <w:szCs w:val="22"/>
        </w:rPr>
        <w:t xml:space="preserve"> </w:t>
      </w:r>
      <w:r w:rsidR="00E9136A" w:rsidRPr="00593EB0">
        <w:rPr>
          <w:rFonts w:ascii="Calibri" w:hAnsi="Calibri" w:cs="Calibri"/>
          <w:sz w:val="22"/>
          <w:szCs w:val="22"/>
        </w:rPr>
        <w:t>specified in Sections 10 to 13 of the Packaging Act, which are yet to be placed on the market or in</w:t>
      </w:r>
      <w:r w:rsidR="0072178F">
        <w:rPr>
          <w:rFonts w:ascii="Calibri" w:hAnsi="Calibri" w:cs="Calibri"/>
          <w:sz w:val="22"/>
          <w:szCs w:val="22"/>
        </w:rPr>
        <w:t>to</w:t>
      </w:r>
      <w:r w:rsidR="00E9136A" w:rsidRPr="00593EB0">
        <w:rPr>
          <w:rFonts w:ascii="Calibri" w:hAnsi="Calibri" w:cs="Calibri"/>
          <w:sz w:val="22"/>
          <w:szCs w:val="22"/>
        </w:rPr>
        <w:t xml:space="preserve"> circulation, the fee (remuneration) will be properly paid to EKO-KOM, a.s.  </w:t>
      </w:r>
      <w:r w:rsidR="00F94A9B" w:rsidRPr="00B13E21">
        <w:rPr>
          <w:rFonts w:ascii="Calibri" w:hAnsi="Calibri" w:cs="Calibri"/>
          <w:sz w:val="22"/>
          <w:szCs w:val="22"/>
        </w:rPr>
        <w:t xml:space="preserve">in </w:t>
      </w:r>
      <w:r w:rsidR="00E9136A" w:rsidRPr="00593EB0">
        <w:rPr>
          <w:rFonts w:ascii="Calibri" w:hAnsi="Calibri" w:cs="Calibri"/>
          <w:sz w:val="22"/>
          <w:szCs w:val="22"/>
        </w:rPr>
        <w:t xml:space="preserve">accordance with the </w:t>
      </w:r>
      <w:r w:rsidR="00F94A9B" w:rsidRPr="00B13E21">
        <w:rPr>
          <w:rFonts w:ascii="Calibri" w:hAnsi="Calibri" w:cs="Calibri"/>
          <w:sz w:val="22"/>
          <w:szCs w:val="22"/>
        </w:rPr>
        <w:t>C</w:t>
      </w:r>
      <w:r w:rsidR="00E9136A" w:rsidRPr="00B13E21">
        <w:rPr>
          <w:rFonts w:ascii="Calibri" w:hAnsi="Calibri" w:cs="Calibri"/>
          <w:sz w:val="22"/>
          <w:szCs w:val="22"/>
        </w:rPr>
        <w:t xml:space="preserve">ontract on </w:t>
      </w:r>
      <w:r w:rsidR="00F94A9B" w:rsidRPr="00B13E21">
        <w:rPr>
          <w:rFonts w:ascii="Calibri" w:hAnsi="Calibri" w:cs="Calibri"/>
          <w:sz w:val="22"/>
          <w:szCs w:val="22"/>
        </w:rPr>
        <w:t>C</w:t>
      </w:r>
      <w:r w:rsidR="00032CFE" w:rsidRPr="00B13E21">
        <w:rPr>
          <w:rFonts w:ascii="Calibri" w:hAnsi="Calibri" w:cs="Calibri"/>
          <w:sz w:val="22"/>
          <w:szCs w:val="22"/>
        </w:rPr>
        <w:t xml:space="preserve">ollective </w:t>
      </w:r>
      <w:r w:rsidR="00F94A9B" w:rsidRPr="00B13E21">
        <w:rPr>
          <w:rFonts w:ascii="Calibri" w:hAnsi="Calibri" w:cs="Calibri"/>
          <w:sz w:val="22"/>
          <w:szCs w:val="22"/>
        </w:rPr>
        <w:t>C</w:t>
      </w:r>
      <w:r w:rsidR="00032CFE" w:rsidRPr="00B13E21">
        <w:rPr>
          <w:rFonts w:ascii="Calibri" w:hAnsi="Calibri" w:cs="Calibri"/>
          <w:sz w:val="22"/>
          <w:szCs w:val="22"/>
        </w:rPr>
        <w:t>ompliance.</w:t>
      </w:r>
    </w:p>
    <w:p w:rsidR="00832279" w:rsidRPr="00593EB0" w:rsidRDefault="00832279" w:rsidP="00E4260C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:rsidR="006625A8" w:rsidRDefault="00C537F4" w:rsidP="00E4260C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 w:rsidRPr="00593EB0">
        <w:rPr>
          <w:rFonts w:ascii="Calibri" w:hAnsi="Calibri" w:cs="Calibri"/>
          <w:sz w:val="22"/>
          <w:szCs w:val="22"/>
        </w:rPr>
        <w:t>This declaration is valid for an indefinite period from</w:t>
      </w:r>
    </w:p>
    <w:p w:rsidR="00D22D7E" w:rsidRPr="00593EB0" w:rsidRDefault="003744B8" w:rsidP="007F5AC0">
      <w:pPr>
        <w:jc w:val="both"/>
        <w:rPr>
          <w:rFonts w:ascii="Calibri" w:hAnsi="Calibri" w:cs="Calibri"/>
          <w:sz w:val="22"/>
          <w:szCs w:val="22"/>
        </w:rPr>
      </w:pPr>
      <w:r w:rsidRPr="00593EB0">
        <w:rPr>
          <w:rFonts w:ascii="Calibri" w:hAnsi="Calibri" w:cs="Calibri"/>
          <w:sz w:val="22"/>
          <w:szCs w:val="22"/>
        </w:rPr>
        <w:t xml:space="preserve">               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32"/>
        <w:gridCol w:w="799"/>
        <w:gridCol w:w="799"/>
      </w:tblGrid>
      <w:tr w:rsidR="00995C54" w:rsidRPr="0060134F" w:rsidTr="0060134F">
        <w:tc>
          <w:tcPr>
            <w:tcW w:w="917" w:type="dxa"/>
            <w:shd w:val="clear" w:color="auto" w:fill="auto"/>
          </w:tcPr>
          <w:p w:rsidR="00995C54" w:rsidRPr="0060134F" w:rsidRDefault="00995C54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134F">
              <w:rPr>
                <w:rFonts w:ascii="Calibri" w:hAnsi="Calibri" w:cs="Calibri"/>
                <w:sz w:val="22"/>
                <w:szCs w:val="22"/>
              </w:rPr>
              <w:t>quarter:</w:t>
            </w:r>
          </w:p>
        </w:tc>
        <w:tc>
          <w:tcPr>
            <w:tcW w:w="832" w:type="dxa"/>
            <w:shd w:val="clear" w:color="auto" w:fill="FFFF00"/>
          </w:tcPr>
          <w:p w:rsidR="00995C54" w:rsidRPr="0060134F" w:rsidRDefault="00995C54" w:rsidP="006013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995C54" w:rsidRPr="0060134F" w:rsidRDefault="00995C54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134F">
              <w:rPr>
                <w:rFonts w:ascii="Calibri" w:hAnsi="Calibri" w:cs="Calibri"/>
                <w:sz w:val="22"/>
                <w:szCs w:val="22"/>
              </w:rPr>
              <w:t>year:</w:t>
            </w:r>
          </w:p>
        </w:tc>
        <w:tc>
          <w:tcPr>
            <w:tcW w:w="799" w:type="dxa"/>
            <w:shd w:val="clear" w:color="auto" w:fill="FFFF00"/>
          </w:tcPr>
          <w:p w:rsidR="00995C54" w:rsidRPr="0060134F" w:rsidRDefault="00995C54" w:rsidP="006013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4A9B" w:rsidRDefault="00F94A9B" w:rsidP="00F94A9B">
      <w:pPr>
        <w:jc w:val="both"/>
        <w:rPr>
          <w:rFonts w:ascii="Calibri" w:hAnsi="Calibri" w:cs="Calibri"/>
          <w:sz w:val="22"/>
          <w:szCs w:val="22"/>
        </w:rPr>
      </w:pPr>
    </w:p>
    <w:p w:rsidR="00C43392" w:rsidRPr="00593EB0" w:rsidRDefault="00C43392" w:rsidP="00F94A9B">
      <w:pPr>
        <w:jc w:val="both"/>
        <w:rPr>
          <w:rFonts w:ascii="Calibri" w:hAnsi="Calibri" w:cs="Calibri"/>
          <w:sz w:val="22"/>
          <w:szCs w:val="22"/>
        </w:rPr>
      </w:pPr>
      <w:r w:rsidRPr="00C43392">
        <w:rPr>
          <w:rFonts w:ascii="Calibri" w:hAnsi="Calibri" w:cs="Calibri"/>
          <w:sz w:val="22"/>
          <w:szCs w:val="22"/>
        </w:rPr>
        <w:t>Any changes compared to the facts stated here will be notified immediately.</w:t>
      </w:r>
    </w:p>
    <w:p w:rsidR="008C754F" w:rsidRDefault="008C754F" w:rsidP="007F5AC0">
      <w:pPr>
        <w:jc w:val="both"/>
        <w:rPr>
          <w:rFonts w:ascii="Calibri" w:hAnsi="Calibri" w:cs="Calibri"/>
          <w:sz w:val="22"/>
          <w:szCs w:val="22"/>
        </w:rPr>
      </w:pPr>
    </w:p>
    <w:p w:rsidR="004F1D32" w:rsidRPr="00593EB0" w:rsidRDefault="004F1D32" w:rsidP="007F5AC0">
      <w:pPr>
        <w:jc w:val="both"/>
        <w:rPr>
          <w:rFonts w:ascii="Calibri" w:hAnsi="Calibri" w:cs="Calibri"/>
          <w:sz w:val="22"/>
          <w:szCs w:val="22"/>
        </w:rPr>
      </w:pPr>
      <w:bookmarkStart w:id="1" w:name="OLE_LINK1"/>
    </w:p>
    <w:p w:rsidR="0064551A" w:rsidRDefault="0064551A" w:rsidP="007F5AC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4395"/>
        <w:gridCol w:w="557"/>
        <w:gridCol w:w="1864"/>
      </w:tblGrid>
      <w:tr w:rsidR="008C754F" w:rsidRPr="00552D69" w:rsidTr="00D238FC">
        <w:tc>
          <w:tcPr>
            <w:tcW w:w="391" w:type="dxa"/>
            <w:shd w:val="clear" w:color="auto" w:fill="auto"/>
          </w:tcPr>
          <w:p w:rsidR="008C754F" w:rsidRPr="00552D69" w:rsidRDefault="008C754F" w:rsidP="00552D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2D69">
              <w:rPr>
                <w:rFonts w:ascii="Calibri" w:hAnsi="Calibri" w:cs="Calibri"/>
                <w:sz w:val="22"/>
                <w:szCs w:val="22"/>
              </w:rPr>
              <w:t>I</w:t>
            </w:r>
            <w:r w:rsidR="0072178F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4395" w:type="dxa"/>
            <w:shd w:val="clear" w:color="auto" w:fill="FFFF00"/>
          </w:tcPr>
          <w:p w:rsidR="008C754F" w:rsidRPr="00552D69" w:rsidRDefault="008C754F" w:rsidP="00552D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8C754F" w:rsidRPr="00552D69" w:rsidRDefault="008C754F" w:rsidP="00552D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2D69">
              <w:rPr>
                <w:rFonts w:ascii="Calibri" w:hAnsi="Calibri" w:cs="Calibri"/>
                <w:sz w:val="22"/>
                <w:szCs w:val="22"/>
              </w:rPr>
              <w:t>day</w:t>
            </w:r>
          </w:p>
        </w:tc>
        <w:tc>
          <w:tcPr>
            <w:tcW w:w="1864" w:type="dxa"/>
            <w:shd w:val="clear" w:color="auto" w:fill="FFFF00"/>
          </w:tcPr>
          <w:p w:rsidR="008C754F" w:rsidRPr="00552D69" w:rsidRDefault="008C754F" w:rsidP="00552D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95C54" w:rsidRDefault="00995C54" w:rsidP="007F5AC0">
      <w:pPr>
        <w:jc w:val="both"/>
        <w:rPr>
          <w:rFonts w:ascii="Calibri" w:hAnsi="Calibri" w:cs="Calibri"/>
          <w:sz w:val="22"/>
          <w:szCs w:val="22"/>
        </w:rPr>
      </w:pPr>
    </w:p>
    <w:bookmarkEnd w:id="1"/>
    <w:p w:rsidR="008C754F" w:rsidRDefault="008C754F" w:rsidP="007F5AC0">
      <w:pPr>
        <w:jc w:val="both"/>
        <w:rPr>
          <w:rFonts w:ascii="Calibri" w:hAnsi="Calibri" w:cs="Calibri"/>
          <w:sz w:val="22"/>
          <w:szCs w:val="22"/>
        </w:rPr>
      </w:pPr>
    </w:p>
    <w:p w:rsidR="000031FC" w:rsidRDefault="000031FC" w:rsidP="007F5AC0">
      <w:pPr>
        <w:jc w:val="both"/>
        <w:rPr>
          <w:rFonts w:ascii="Calibri" w:hAnsi="Calibri" w:cs="Calibri"/>
          <w:sz w:val="22"/>
          <w:szCs w:val="22"/>
        </w:rPr>
      </w:pPr>
    </w:p>
    <w:p w:rsidR="009F68E8" w:rsidRDefault="009F68E8" w:rsidP="007F5AC0">
      <w:pPr>
        <w:jc w:val="both"/>
        <w:rPr>
          <w:rFonts w:ascii="Calibri" w:hAnsi="Calibri" w:cs="Calibri"/>
          <w:sz w:val="22"/>
          <w:szCs w:val="22"/>
        </w:rPr>
      </w:pPr>
    </w:p>
    <w:p w:rsidR="004F1D32" w:rsidRDefault="004F1D32" w:rsidP="007F5AC0">
      <w:pPr>
        <w:jc w:val="both"/>
        <w:rPr>
          <w:rFonts w:ascii="Calibri" w:hAnsi="Calibri" w:cs="Calibri"/>
          <w:sz w:val="22"/>
          <w:szCs w:val="22"/>
        </w:rPr>
      </w:pPr>
    </w:p>
    <w:p w:rsidR="009F68E8" w:rsidRDefault="009F68E8" w:rsidP="007F5AC0">
      <w:pPr>
        <w:jc w:val="both"/>
        <w:rPr>
          <w:rFonts w:ascii="Calibri" w:hAnsi="Calibri" w:cs="Calibri"/>
          <w:sz w:val="22"/>
          <w:szCs w:val="22"/>
        </w:rPr>
      </w:pPr>
    </w:p>
    <w:p w:rsidR="00C537F4" w:rsidRPr="00593EB0" w:rsidRDefault="00C537F4" w:rsidP="007F5AC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C754F" w:rsidRPr="00552D69" w:rsidTr="000943D2">
        <w:tc>
          <w:tcPr>
            <w:tcW w:w="4786" w:type="dxa"/>
            <w:shd w:val="clear" w:color="auto" w:fill="auto"/>
          </w:tcPr>
          <w:p w:rsidR="008C754F" w:rsidRPr="00552D69" w:rsidRDefault="008C754F" w:rsidP="00552D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537F4" w:rsidRPr="00593EB0" w:rsidRDefault="00F85FC3" w:rsidP="00F85FC3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2178F">
        <w:rPr>
          <w:rFonts w:ascii="Calibri" w:hAnsi="Calibri" w:cs="Calibri"/>
          <w:sz w:val="22"/>
          <w:szCs w:val="22"/>
        </w:rPr>
        <w:t>Signature</w:t>
      </w:r>
      <w:r w:rsidR="009D1D48" w:rsidRPr="00593EB0">
        <w:rPr>
          <w:rFonts w:ascii="Calibri" w:hAnsi="Calibri" w:cs="Calibri"/>
          <w:sz w:val="22"/>
          <w:szCs w:val="22"/>
        </w:rPr>
        <w:t>, stamp</w:t>
      </w:r>
    </w:p>
    <w:sectPr w:rsidR="00C537F4" w:rsidRPr="00593EB0" w:rsidSect="00C503C9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43C263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6"/>
    <w:rsid w:val="0000092B"/>
    <w:rsid w:val="000031FC"/>
    <w:rsid w:val="00014E81"/>
    <w:rsid w:val="00032CFE"/>
    <w:rsid w:val="00051078"/>
    <w:rsid w:val="000610D2"/>
    <w:rsid w:val="000943D2"/>
    <w:rsid w:val="000B0DF8"/>
    <w:rsid w:val="000C7BE6"/>
    <w:rsid w:val="000F025B"/>
    <w:rsid w:val="00124200"/>
    <w:rsid w:val="00140474"/>
    <w:rsid w:val="00162378"/>
    <w:rsid w:val="00162411"/>
    <w:rsid w:val="00163828"/>
    <w:rsid w:val="00177646"/>
    <w:rsid w:val="00182136"/>
    <w:rsid w:val="001C4007"/>
    <w:rsid w:val="001F74D7"/>
    <w:rsid w:val="00212BFD"/>
    <w:rsid w:val="00224D7E"/>
    <w:rsid w:val="002401F1"/>
    <w:rsid w:val="002455BC"/>
    <w:rsid w:val="00263E96"/>
    <w:rsid w:val="002701C5"/>
    <w:rsid w:val="00277E6F"/>
    <w:rsid w:val="002D0C8E"/>
    <w:rsid w:val="002E16B0"/>
    <w:rsid w:val="002E6717"/>
    <w:rsid w:val="002E7E5D"/>
    <w:rsid w:val="003062E9"/>
    <w:rsid w:val="00313239"/>
    <w:rsid w:val="00365EA8"/>
    <w:rsid w:val="003744B8"/>
    <w:rsid w:val="003B0914"/>
    <w:rsid w:val="003D4616"/>
    <w:rsid w:val="003F0414"/>
    <w:rsid w:val="00401265"/>
    <w:rsid w:val="004063CB"/>
    <w:rsid w:val="00435D91"/>
    <w:rsid w:val="004A6061"/>
    <w:rsid w:val="004B0132"/>
    <w:rsid w:val="004F1D32"/>
    <w:rsid w:val="005113D0"/>
    <w:rsid w:val="00515407"/>
    <w:rsid w:val="00534272"/>
    <w:rsid w:val="00537D82"/>
    <w:rsid w:val="00552D69"/>
    <w:rsid w:val="00555561"/>
    <w:rsid w:val="00593EB0"/>
    <w:rsid w:val="005B0709"/>
    <w:rsid w:val="005C6666"/>
    <w:rsid w:val="006012B4"/>
    <w:rsid w:val="0060134F"/>
    <w:rsid w:val="00637D42"/>
    <w:rsid w:val="0064551A"/>
    <w:rsid w:val="006625A8"/>
    <w:rsid w:val="00681377"/>
    <w:rsid w:val="00695E0F"/>
    <w:rsid w:val="006C1EAE"/>
    <w:rsid w:val="0072178F"/>
    <w:rsid w:val="007361CC"/>
    <w:rsid w:val="00747362"/>
    <w:rsid w:val="00756088"/>
    <w:rsid w:val="007602BB"/>
    <w:rsid w:val="007708CA"/>
    <w:rsid w:val="007E4D44"/>
    <w:rsid w:val="007F0539"/>
    <w:rsid w:val="007F5AC0"/>
    <w:rsid w:val="008144DC"/>
    <w:rsid w:val="00815F2D"/>
    <w:rsid w:val="00832279"/>
    <w:rsid w:val="00852A84"/>
    <w:rsid w:val="0086296C"/>
    <w:rsid w:val="008629DD"/>
    <w:rsid w:val="00882087"/>
    <w:rsid w:val="0088310C"/>
    <w:rsid w:val="008875AB"/>
    <w:rsid w:val="00891CA1"/>
    <w:rsid w:val="008A49E4"/>
    <w:rsid w:val="008C754F"/>
    <w:rsid w:val="008E4515"/>
    <w:rsid w:val="00902407"/>
    <w:rsid w:val="009027E7"/>
    <w:rsid w:val="009552B0"/>
    <w:rsid w:val="00995C54"/>
    <w:rsid w:val="009B31A1"/>
    <w:rsid w:val="009D1D48"/>
    <w:rsid w:val="009E042A"/>
    <w:rsid w:val="009E479E"/>
    <w:rsid w:val="009F68E8"/>
    <w:rsid w:val="00A1193A"/>
    <w:rsid w:val="00A20835"/>
    <w:rsid w:val="00AC0218"/>
    <w:rsid w:val="00AF600A"/>
    <w:rsid w:val="00B13E21"/>
    <w:rsid w:val="00B37CAF"/>
    <w:rsid w:val="00B97DAA"/>
    <w:rsid w:val="00BA2E75"/>
    <w:rsid w:val="00BE0A33"/>
    <w:rsid w:val="00BF0F8D"/>
    <w:rsid w:val="00BF6215"/>
    <w:rsid w:val="00C36079"/>
    <w:rsid w:val="00C43392"/>
    <w:rsid w:val="00C503C9"/>
    <w:rsid w:val="00C537F4"/>
    <w:rsid w:val="00C57557"/>
    <w:rsid w:val="00C80A8C"/>
    <w:rsid w:val="00D00B7C"/>
    <w:rsid w:val="00D133E8"/>
    <w:rsid w:val="00D22D7E"/>
    <w:rsid w:val="00D238FC"/>
    <w:rsid w:val="00D66DA5"/>
    <w:rsid w:val="00DB272A"/>
    <w:rsid w:val="00DB294D"/>
    <w:rsid w:val="00DD289D"/>
    <w:rsid w:val="00DE5756"/>
    <w:rsid w:val="00E4260C"/>
    <w:rsid w:val="00E53FB0"/>
    <w:rsid w:val="00E63FB3"/>
    <w:rsid w:val="00E72236"/>
    <w:rsid w:val="00E9136A"/>
    <w:rsid w:val="00E940CD"/>
    <w:rsid w:val="00EC1AA0"/>
    <w:rsid w:val="00EC2DAE"/>
    <w:rsid w:val="00EE5E79"/>
    <w:rsid w:val="00F01654"/>
    <w:rsid w:val="00F063E5"/>
    <w:rsid w:val="00F27B8E"/>
    <w:rsid w:val="00F5207C"/>
    <w:rsid w:val="00F742FA"/>
    <w:rsid w:val="00F85FC3"/>
    <w:rsid w:val="00F94A9B"/>
    <w:rsid w:val="00FA36DD"/>
    <w:rsid w:val="00FA513E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FFAF"/>
  <w15:chartTrackingRefBased/>
  <w15:docId w15:val="{96B764BA-6501-4209-9665-8DBB0DD1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64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rk1">
    <w:name w:val="work1"/>
    <w:basedOn w:val="Normln"/>
    <w:rsid w:val="00177646"/>
    <w:pPr>
      <w:spacing w:line="360" w:lineRule="auto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5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755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708CA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D2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F9FD-019D-404A-B5C4-EAE1BFF7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lberanek</dc:creator>
  <cp:keywords/>
  <cp:lastModifiedBy>Beránek Lukáš</cp:lastModifiedBy>
  <cp:revision>3</cp:revision>
  <cp:lastPrinted>2022-11-28T08:19:00Z</cp:lastPrinted>
  <dcterms:created xsi:type="dcterms:W3CDTF">2023-10-11T08:44:00Z</dcterms:created>
  <dcterms:modified xsi:type="dcterms:W3CDTF">2025-05-07T10:42:00Z</dcterms:modified>
</cp:coreProperties>
</file>